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 (First Name),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Exciting news if you haven’t heard! I’m letting you know that Herrmann has launched a new Stop &amp; Think application for Microsoft Teams. This feature will allow you to: 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03030"/>
          <w:rtl w:val="0"/>
        </w:rPr>
        <w:t xml:space="preserve">Explore your HBDI® profile and your team’s profiles as you work together to achieve your team’s objectives on Microsoft Teams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03030"/>
          <w:rtl w:val="0"/>
        </w:rPr>
        <w:t xml:space="preserve">Get a better understanding of your personal thinking preferences and how they impact team dynamics and performance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303030"/>
          <w:rtl w:val="0"/>
        </w:rPr>
        <w:t xml:space="preserve">Apply the Whole Brain® Thinking Model to real team challenges around communication, collaboration, problem-solving, and decision-making in the flow of work</w:t>
      </w:r>
    </w:p>
    <w:p w:rsidR="00000000" w:rsidDel="00000000" w:rsidP="00000000" w:rsidRDefault="00000000" w:rsidRPr="00000000" w14:paraId="00000008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If you’ve been struggling with leading effective team meetings, or are having challenges seeing eye-to-eye with a team member, I think the Stop &amp; Think application would be a big help. </w:t>
        <w:br w:type="textWrapping"/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Add the Stop &amp; Think application</w:t>
        </w:r>
      </w:hyperlink>
      <w:r w:rsidDel="00000000" w:rsidR="00000000" w:rsidRPr="00000000">
        <w:rPr>
          <w:color w:val="303030"/>
          <w:rtl w:val="0"/>
        </w:rPr>
        <w:t xml:space="preserve"> by simply clicking on the plus sign on the top and searching for Stop &amp; Think within Microsoft Teams. </w:t>
      </w:r>
      <w:r w:rsidDel="00000000" w:rsidR="00000000" w:rsidRPr="00000000">
        <w:rPr>
          <w:color w:val="0e101d"/>
          <w:rtl w:val="0"/>
        </w:rPr>
        <w:t xml:space="preserve">You have the option to add Stop &amp; Think in several places - to a Teams channel, to a Chat, or even to your Calendar when creating a meeting invitation. </w:t>
      </w:r>
      <w:r w:rsidDel="00000000" w:rsidR="00000000" w:rsidRPr="00000000">
        <w:rPr>
          <w:color w:val="303030"/>
          <w:rtl w:val="0"/>
        </w:rPr>
        <w:t xml:space="preserve">You can also learn more about the Stop &amp; Think application by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visiting the support site here</w:t>
        </w:r>
      </w:hyperlink>
      <w:r w:rsidDel="00000000" w:rsidR="00000000" w:rsidRPr="00000000">
        <w:rPr>
          <w:color w:val="303030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Sincerely,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150400</wp:posOffset>
            </wp:positionV>
            <wp:extent cx="2257425" cy="13811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3949" l="21715" r="14745" t="1976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81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303030"/>
        </w:rPr>
      </w:pPr>
      <w:r w:rsidDel="00000000" w:rsidR="00000000" w:rsidRPr="00000000">
        <w:rPr>
          <w:color w:val="303030"/>
        </w:rPr>
        <w:drawing>
          <wp:inline distB="114300" distT="114300" distL="114300" distR="114300">
            <wp:extent cx="3271838" cy="178463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1838" cy="17846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03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herrmann.zendesk.com/hc/en-us/articles/9538651671443-Demo-Stop-Think-in-MS-Teams#h_01GCYADQJW05SBRT7FDA64EWA2" TargetMode="External"/><Relationship Id="rId7" Type="http://schemas.openxmlformats.org/officeDocument/2006/relationships/hyperlink" Target="https://herrmann.zendesk.com/hc/en-us/categories/10276463954963-Stop-Think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