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left"/>
        <w:rPr>
          <w:b w:val="1"/>
          <w:color w:val="4e504f"/>
          <w:sz w:val="28"/>
          <w:szCs w:val="28"/>
        </w:rPr>
      </w:pPr>
      <w:r w:rsidDel="00000000" w:rsidR="00000000" w:rsidRPr="00000000">
        <w:rPr>
          <w:b w:val="1"/>
          <w:color w:val="4e504f"/>
          <w:sz w:val="28"/>
          <w:szCs w:val="28"/>
          <w:rtl w:val="0"/>
        </w:rPr>
        <w:t xml:space="preserve">{Subject Placeholder: You’re Just Getting Started! Stage Two Awaits!}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color w:val="4e504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color w:val="1c1917"/>
        </w:rPr>
      </w:pPr>
      <w:r w:rsidDel="00000000" w:rsidR="00000000" w:rsidRPr="00000000">
        <w:rPr>
          <w:rtl w:val="0"/>
        </w:rPr>
        <w:t xml:space="preserve">Hello (First Name),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/>
      </w:pPr>
      <w:r w:rsidDel="00000000" w:rsidR="00000000" w:rsidRPr="00000000">
        <w:rPr>
          <w:rtl w:val="0"/>
        </w:rPr>
        <w:br w:type="textWrapping"/>
        <w:t xml:space="preserve">In a world where communication happens faster than ever, understanding how others think and process information is a key element to meeting the challenges we face. How can our teams make sure our messages are received with the desired intent? By using Whole Brain</w:t>
      </w:r>
      <w:r w:rsidDel="00000000" w:rsidR="00000000" w:rsidRPr="00000000">
        <w:rPr>
          <w:rFonts w:ascii="Arial Unicode MS" w:cs="Arial Unicode MS" w:eastAsia="Arial Unicode MS" w:hAnsi="Arial Unicode MS"/>
          <w:vertAlign w:val="superscript"/>
          <w:rtl w:val="0"/>
        </w:rPr>
        <w:t xml:space="preserve">Ⓡ </w:t>
      </w:r>
      <w:r w:rsidDel="00000000" w:rsidR="00000000" w:rsidRPr="00000000">
        <w:rPr>
          <w:rtl w:val="0"/>
        </w:rPr>
        <w:t xml:space="preserve">Thinking to learn more about the thinking preferences that shape how we experience the word.</w:t>
      </w:r>
      <w:r w:rsidDel="00000000" w:rsidR="00000000" w:rsidRPr="00000000">
        <w:rPr>
          <w:rtl w:val="0"/>
        </w:rPr>
        <w:br w:type="textWrapping"/>
        <w:br w:type="textWrapping"/>
        <w:t xml:space="preserve">You’ve completed stage one of the team accelerator tools. Don’t stop now! Resources to better understand the cognitive diversity of your team and how you can improve your day-to-day communication await! </w:t>
        <w:br w:type="textWrapping"/>
        <w:br w:type="textWrapping"/>
        <w:t xml:space="preserve">Additionally, You will also find help organizing your work in the final step - prioritize your goals. </w:t>
      </w:r>
      <w:r w:rsidDel="00000000" w:rsidR="00000000" w:rsidRPr="00000000">
        <w:rPr>
          <w:rtl w:val="0"/>
        </w:rPr>
        <w:br w:type="textWrapping"/>
        <w:br w:type="textWrapping"/>
        <w:t xml:space="preserve">Visit the team accelerator tools in the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Thinker Portal</w:t>
        </w:r>
      </w:hyperlink>
      <w:r w:rsidDel="00000000" w:rsidR="00000000" w:rsidRPr="00000000">
        <w:rPr>
          <w:rtl w:val="0"/>
        </w:rPr>
        <w:t xml:space="preserve"> today to plan how your team can continue their journey. Let me know if you have any questions or want to discuss ways we can support your efforts!</w:t>
      </w: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5">
      <w:pPr>
        <w:spacing w:line="276" w:lineRule="auto"/>
        <w:rPr>
          <w:color w:val="4e50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color w:val="4e504f"/>
        </w:rPr>
      </w:pPr>
      <w:r w:rsidDel="00000000" w:rsidR="00000000" w:rsidRPr="00000000">
        <w:rPr>
          <w:color w:val="4e504f"/>
        </w:rPr>
        <w:drawing>
          <wp:inline distB="114300" distT="114300" distL="114300" distR="114300">
            <wp:extent cx="5943600" cy="271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color w:val="4e504f"/>
        </w:rPr>
      </w:pPr>
      <w:r w:rsidDel="00000000" w:rsidR="00000000" w:rsidRPr="00000000">
        <w:rPr>
          <w:rtl w:val="0"/>
        </w:rPr>
        <w:t xml:space="preserve">Don’t hesitate to get in touch!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{Sign off}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herrmann.zendesk.com/hc/en-us/articles/21225089066643-Team-Accelerator-Tools-in-the-Herrmann-Thinker-Portal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